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85A" w:rsidRPr="001F285A" w:rsidRDefault="001F285A" w:rsidP="003906EC">
      <w:pPr>
        <w:jc w:val="both"/>
        <w:rPr>
          <w:rFonts w:ascii="MS Reference Sans Serif" w:eastAsia="Calibri" w:hAnsi="MS Reference Sans Serif" w:cs="Times New Roman"/>
          <w:b/>
          <w:sz w:val="28"/>
          <w:szCs w:val="28"/>
        </w:rPr>
      </w:pPr>
      <w:r w:rsidRPr="001F285A">
        <w:rPr>
          <w:rFonts w:ascii="MS Reference Sans Serif" w:eastAsia="Calibri" w:hAnsi="MS Reference Sans Serif" w:cs="Times New Roman"/>
          <w:b/>
          <w:noProof/>
          <w:sz w:val="28"/>
          <w:szCs w:val="28"/>
          <w:lang w:eastAsia="de-DE"/>
        </w:rPr>
        <mc:AlternateContent>
          <mc:Choice Requires="wps">
            <w:drawing>
              <wp:anchor distT="91440" distB="91440" distL="114300" distR="114300" simplePos="0" relativeHeight="251660288" behindDoc="0" locked="0" layoutInCell="1" allowOverlap="1" wp14:anchorId="7AE623CE" wp14:editId="69F89955">
                <wp:simplePos x="0" y="0"/>
                <wp:positionH relativeFrom="margin">
                  <wp:align>right</wp:align>
                </wp:positionH>
                <wp:positionV relativeFrom="paragraph">
                  <wp:posOffset>316865</wp:posOffset>
                </wp:positionV>
                <wp:extent cx="5746115" cy="1403985"/>
                <wp:effectExtent l="0" t="0" r="0" b="0"/>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1403985"/>
                        </a:xfrm>
                        <a:prstGeom prst="rect">
                          <a:avLst/>
                        </a:prstGeom>
                        <a:noFill/>
                        <a:ln w="9525">
                          <a:noFill/>
                          <a:miter lim="800000"/>
                          <a:headEnd/>
                          <a:tailEnd/>
                        </a:ln>
                      </wps:spPr>
                      <wps:txbx>
                        <w:txbxContent>
                          <w:p w:rsidR="001F285A" w:rsidRPr="001F285A" w:rsidRDefault="001F285A" w:rsidP="001F285A">
                            <w:pPr>
                              <w:pBdr>
                                <w:top w:val="single" w:sz="24" w:space="8" w:color="4472C4"/>
                                <w:bottom w:val="single" w:sz="24" w:space="8" w:color="4472C4"/>
                              </w:pBdr>
                              <w:spacing w:after="0"/>
                              <w:jc w:val="center"/>
                              <w:rPr>
                                <w:b/>
                                <w:i/>
                                <w:iCs/>
                                <w:color w:val="4472C4"/>
                                <w:sz w:val="24"/>
                              </w:rPr>
                            </w:pPr>
                            <w:r w:rsidRPr="001F285A">
                              <w:rPr>
                                <w:b/>
                                <w:i/>
                                <w:iCs/>
                                <w:color w:val="4472C4"/>
                                <w:sz w:val="24"/>
                                <w:szCs w:val="24"/>
                              </w:rPr>
                              <w:t>Wenn du wenig Erfahrung in diesem Bereich hast, und/oder wenn du in einem westlichen Land lebst, ist dieser Abschnitt für dich.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623CE" id="_x0000_t202" coordsize="21600,21600" o:spt="202" path="m,l,21600r21600,l21600,xe">
                <v:stroke joinstyle="miter"/>
                <v:path gradientshapeok="t" o:connecttype="rect"/>
              </v:shapetype>
              <v:shape id="Textfeld 2" o:spid="_x0000_s1026" type="#_x0000_t202" style="position:absolute;left:0;text-align:left;margin-left:401.25pt;margin-top:24.95pt;width:452.45pt;height:110.55pt;z-index:25166028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" filled="f" stroked="f">
                <v:textbox style="mso-fit-shape-to-text:t">
                  <w:txbxContent>
                    <w:p w:rsidR="001F285A" w:rsidRPr="001F285A" w:rsidRDefault="001F285A" w:rsidP="001F285A">
                      <w:pPr>
                        <w:pBdr>
                          <w:top w:val="single" w:sz="24" w:space="8" w:color="4472C4"/>
                          <w:bottom w:val="single" w:sz="24" w:space="8" w:color="4472C4"/>
                        </w:pBdr>
                        <w:spacing w:after="0"/>
                        <w:jc w:val="center"/>
                        <w:rPr>
                          <w:b/>
                          <w:i/>
                          <w:iCs/>
                          <w:color w:val="4472C4"/>
                          <w:sz w:val="24"/>
                        </w:rPr>
                      </w:pPr>
                      <w:r w:rsidRPr="001F285A">
                        <w:rPr>
                          <w:b/>
                          <w:i/>
                          <w:iCs/>
                          <w:color w:val="4472C4"/>
                          <w:sz w:val="24"/>
                          <w:szCs w:val="24"/>
                        </w:rPr>
                        <w:t>Wenn du wenig Erfahrung in diesem Bereich hast, und/oder wenn du in einem westlichen Land lebst, ist dieser Abschnitt für dich.</w:t>
                      </w:r>
                    </w:p>
                  </w:txbxContent>
                </v:textbox>
                <w10:wrap type="topAndBottom" anchorx="margin"/>
              </v:shape>
            </w:pict>
          </mc:Fallback>
        </mc:AlternateContent>
      </w:r>
      <w:r w:rsidRPr="001F285A">
        <w:rPr>
          <w:rFonts w:ascii="MS Reference Sans Serif" w:eastAsia="Calibri" w:hAnsi="MS Reference Sans Serif" w:cs="Times New Roman"/>
          <w:b/>
          <w:sz w:val="28"/>
          <w:szCs w:val="28"/>
        </w:rPr>
        <w:t>Jüngerschaft mit Gläubigen aus muslimischem Hintergrund</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Jesu Auftrag an uns ist, Menschen aus allen Nationen zu Jüngern zu machen. Das heißt jedoch nicht, sie zu westlichen Christen zu machen. Es gibt in jeder Kultur positive und negative Aspekte. Wir alle, ob aus dem Westen oder dem Orient, sollten das Wort Gottes als Maßstab an unsere Kultur anlegen und uns ‚blinde Flecken‘ zeigen lassen (Röm. 12,1f). Ist es zum Beispiel biblischer, westliche oder orientalische Kleidung zu tragen? Mit Gabel und Messer oder mit den Händen zu essen? Mit gefalteten oder erhobenen Händen zu beten? Individualismus oder Gemeinschaft höher zu achten? Für die Kleinfamilie oder die weitere Verwandtschaft zu sorgen? Gott liebt kulturelle Vielfalt und wir können von Menschen aus muslimischem Hintergrund (BMBs) Gutes aus ihrer Kultur lernen.</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Allerdings fordert die Bibel jene Aspekte einer jeden Kultur heraus, die von menschlicher Sündhaftigkeit infiziert sind. Jüngerschaft schließt folgende Lernschritte mit ein: Ehrlichkeit ist wichtiger als Ehre, denen vergeben, die uns verletzen, die richtige Einstellung zum anderen Geschlecht, in allen Entscheidungen Gott an die erste Stelle setzen usw. Jeder hat seinen persönlichen und kulturellen Hintergrund. Verbringe Zeit mit deinen Freunden, höre ihnen zu und bete mit ihnen, stelle Fragen über ihr Familienleben und wie sie aufgewachsen sind, um sie kennenzulernen.</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Viele muslimische Kulturen haben viele Gemeinsamkeiten, aber auch Unterschiede. Pakistanis, Iraner und Araber sind sehr verschieden! Sogar innerhalb der Länder gibt es Unterschiede zwischen den verschiedenen Ethnien und sozialen Schichten. Frage deine Freunde, was sie an ihrer Kultur mögen, und was nicht. Manche lehnen, wenn sie Christen werden, ihre alte Kultur komplett ab. Allerdings ist es für die psychische Stabilität besser, Kulturaspekt</w:t>
      </w:r>
      <w:r w:rsidR="003906EC">
        <w:rPr>
          <w:rFonts w:ascii="MS Reference Sans Serif" w:eastAsia="Calibri" w:hAnsi="MS Reference Sans Serif" w:cs="Times New Roman"/>
        </w:rPr>
        <w:t>e, die nicht den</w:t>
      </w:r>
      <w:r w:rsidRPr="001F285A">
        <w:rPr>
          <w:rFonts w:ascii="MS Reference Sans Serif" w:eastAsia="Calibri" w:hAnsi="MS Reference Sans Serif" w:cs="Times New Roman"/>
        </w:rPr>
        <w:t xml:space="preserve"> biblischen entgegenstehen, in ihre neue Kultur zu integrieren. </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Finde auch ihre Schwierigkeiten heraus. Einige allgemeine Herausforderungen für BMBs, die jetzt Jesus folgen sind:</w:t>
      </w:r>
    </w:p>
    <w:p w:rsidR="001F285A" w:rsidRPr="001F285A" w:rsidRDefault="001F285A" w:rsidP="003906EC">
      <w:pPr>
        <w:numPr>
          <w:ilvl w:val="0"/>
          <w:numId w:val="3"/>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Verlust der Heimat, Familie und Kultur. Das kann zu Einsamkeit und Identitätsverlust führen.</w:t>
      </w:r>
    </w:p>
    <w:p w:rsidR="001F285A" w:rsidRPr="001F285A" w:rsidRDefault="001F285A" w:rsidP="003906EC">
      <w:pPr>
        <w:numPr>
          <w:ilvl w:val="0"/>
          <w:numId w:val="3"/>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Aktive Verfolgung durch Familienmitglieder oder Freunde (z. B. in der Asylunterkunft) Dadurch fühlen sie sich abgelehnt und ausgegrenzt.</w:t>
      </w:r>
    </w:p>
    <w:p w:rsidR="001F285A" w:rsidRPr="001F285A" w:rsidRDefault="001F285A" w:rsidP="003906EC">
      <w:pPr>
        <w:numPr>
          <w:ilvl w:val="0"/>
          <w:numId w:val="3"/>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Scham und Ehrverlust durch die frühere Gemeinschaft.</w:t>
      </w:r>
    </w:p>
    <w:p w:rsidR="001F285A" w:rsidRPr="001F285A" w:rsidRDefault="001F285A" w:rsidP="003906EC">
      <w:pPr>
        <w:numPr>
          <w:ilvl w:val="0"/>
          <w:numId w:val="3"/>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Zu wenig Struktur im christlichen Glauben, verglichen mit Islam wo alles vorgeschrieben ist.</w:t>
      </w:r>
    </w:p>
    <w:p w:rsidR="001F285A" w:rsidRPr="001F285A" w:rsidRDefault="001F285A" w:rsidP="003906EC">
      <w:pPr>
        <w:numPr>
          <w:ilvl w:val="0"/>
          <w:numId w:val="3"/>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Zu wenig gelebte Gemeinschaft, verglichen mit dem, was sie gewohnt waren.</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 xml:space="preserve">Diese Themen werden im Kurs berücksichtigt, der im Kontext des 1. Petrusbriefes entwickelt wurde mit einem besonderen Fokus auf Fragen der Identität: Wir sind ‚Gottes auserwähltes Volk‘, wertvoll und miteinander verbunden durch Jesus Christus. </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lastRenderedPageBreak/>
        <w:t>BMBs haben im Westen meist mehr Freiheiten und weniger Verfolgung als in ihrem Land. Dafür haben sie andere Herausforderungen, besonders wenn sie noch nicht lange im Westen sind. Diese Herausforderungen sind zum Beispiel:</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Hier wo ‚alles erlaubt‘ ist, weise Entscheidungen zu treffen,</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Ihre Finanzen einzuteilen,</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Westliche Christen zu verstehen und sich anzupassen,</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Beziehungen mit dem anderen Geschlecht zu gestalten,</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Die Bürokratie: Formulare ausfüllen, Asylverfahren, Arbeitssuche, usw.</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Deutsch lernen</w:t>
      </w:r>
    </w:p>
    <w:p w:rsidR="001F285A" w:rsidRPr="001F285A" w:rsidRDefault="001F285A" w:rsidP="003906EC">
      <w:pPr>
        <w:numPr>
          <w:ilvl w:val="0"/>
          <w:numId w:val="4"/>
        </w:numPr>
        <w:contextualSpacing/>
        <w:jc w:val="both"/>
        <w:rPr>
          <w:rFonts w:ascii="MS Reference Sans Serif" w:eastAsia="Calibri" w:hAnsi="MS Reference Sans Serif" w:cs="Times New Roman"/>
        </w:rPr>
      </w:pPr>
      <w:r w:rsidRPr="001F285A">
        <w:rPr>
          <w:rFonts w:ascii="MS Reference Sans Serif" w:eastAsia="Calibri" w:hAnsi="MS Reference Sans Serif" w:cs="Times New Roman"/>
        </w:rPr>
        <w:t>Bei Asylbewerbern die ständige Unsicherheit über die Zukunft: Kann ich bleiben, oder werde ich abgeschoben?</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‚Komm, folge mir nach‘ wurde ursprünglich nicht für BMBs in westlichen Ländern geschrieben, aber wir werden einige dieser Themen aufgreifen und im Leiterhandbuch einfügen. (Für Anregungen sind wir dankbar!)</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 xml:space="preserve">Die Geschichten und Erlebnisse deiner Kursteilnehmer helfen dir, einen Bezug zu sehen zwischen ihrem Leben und dem Kursmaterial. Du wirst verstehen, warum sich die Themen von denen anderer </w:t>
      </w:r>
      <w:proofErr w:type="spellStart"/>
      <w:r w:rsidRPr="001F285A">
        <w:rPr>
          <w:rFonts w:ascii="MS Reference Sans Serif" w:eastAsia="Calibri" w:hAnsi="MS Reference Sans Serif" w:cs="Times New Roman"/>
        </w:rPr>
        <w:t>Jüngerschaftskurse</w:t>
      </w:r>
      <w:proofErr w:type="spellEnd"/>
      <w:r w:rsidRPr="001F285A">
        <w:rPr>
          <w:rFonts w:ascii="MS Reference Sans Serif" w:eastAsia="Calibri" w:hAnsi="MS Reference Sans Serif" w:cs="Times New Roman"/>
        </w:rPr>
        <w:t xml:space="preserve"> unterscheiden. Eine Zeit des gemeinsamen Essens oder ein Snack vor oder nach eurer Austauschzeit kann helfen, eine gemeinsame Basis der Freundschaft und des Vertrauens aufzubauen, so dass deine Freunde ihre Geschichte erzählen können. </w:t>
      </w:r>
    </w:p>
    <w:p w:rsidR="001F285A" w:rsidRPr="001F285A" w:rsidRDefault="001F285A" w:rsidP="003906EC">
      <w:pPr>
        <w:jc w:val="both"/>
        <w:rPr>
          <w:rFonts w:ascii="MS Reference Sans Serif" w:eastAsia="Calibri" w:hAnsi="MS Reference Sans Serif" w:cs="Times New Roman"/>
        </w:rPr>
      </w:pPr>
      <w:r w:rsidRPr="001F285A">
        <w:rPr>
          <w:rFonts w:ascii="MS Reference Sans Serif" w:eastAsia="Calibri" w:hAnsi="MS Reference Sans Serif" w:cs="Times New Roman"/>
        </w:rPr>
        <w:t>Am wichtigsten ist die Liebe. Liebe kann auch helfen, kulturelle Missverständnisse auszuräumen. Liebe heißt, für deinen Freund da zu sein, wenn es ihm nicht gut geht. Liebe heißt, dein Herz und dein Heim zu öffnen, wenn er seine Familie vermisst. Liebe heißt, auch außerhalb der Meetings über Telefon oder soziale Medien Kontakt zu halten. Ein BMB sagte: „Um Jesus nachzufolgen, musste ich meine Familie aufgeben, und alles, was ich dafür bekam, waren Meetings!“</w:t>
      </w:r>
      <w:bookmarkStart w:id="0" w:name="_GoBack"/>
      <w:bookmarkEnd w:id="0"/>
    </w:p>
    <w:p w:rsidR="001F285A" w:rsidRPr="001F285A" w:rsidRDefault="001F285A" w:rsidP="001F285A">
      <w:pPr>
        <w:rPr>
          <w:rFonts w:ascii="MS Reference Sans Serif" w:eastAsia="Calibri" w:hAnsi="MS Reference Sans Serif" w:cs="Times New Roman"/>
        </w:rPr>
      </w:pPr>
    </w:p>
    <w:p w:rsidR="00DE20EC" w:rsidRPr="001F285A" w:rsidRDefault="00DE20EC">
      <w:pPr>
        <w:rPr>
          <w:rFonts w:ascii="MS Reference Sans Serif" w:eastAsia="Calibri" w:hAnsi="MS Reference Sans Serif" w:cs="Times New Roman"/>
        </w:rPr>
      </w:pPr>
    </w:p>
    <w:sectPr w:rsidR="00DE20EC" w:rsidRPr="001F28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4A2"/>
    <w:multiLevelType w:val="hybridMultilevel"/>
    <w:tmpl w:val="5F1C3B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CE32A4"/>
    <w:multiLevelType w:val="hybridMultilevel"/>
    <w:tmpl w:val="EA36A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586435"/>
    <w:multiLevelType w:val="hybridMultilevel"/>
    <w:tmpl w:val="FF1C95D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4879E6"/>
    <w:multiLevelType w:val="hybridMultilevel"/>
    <w:tmpl w:val="680E5B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5A"/>
    <w:rsid w:val="0002287D"/>
    <w:rsid w:val="000D3F8A"/>
    <w:rsid w:val="001F285A"/>
    <w:rsid w:val="003906EC"/>
    <w:rsid w:val="00481F17"/>
    <w:rsid w:val="00752926"/>
    <w:rsid w:val="009F240B"/>
    <w:rsid w:val="00A327C4"/>
    <w:rsid w:val="00A67706"/>
    <w:rsid w:val="00AA55F0"/>
    <w:rsid w:val="00B6669C"/>
    <w:rsid w:val="00C02356"/>
    <w:rsid w:val="00C05185"/>
    <w:rsid w:val="00DE20EC"/>
    <w:rsid w:val="00E04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5316"/>
  <w15:chartTrackingRefBased/>
  <w15:docId w15:val="{16908000-808C-4D02-A456-7F35825E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2</cp:revision>
  <dcterms:created xsi:type="dcterms:W3CDTF">2017-03-06T13:13:00Z</dcterms:created>
  <dcterms:modified xsi:type="dcterms:W3CDTF">2017-03-14T09:24:00Z</dcterms:modified>
</cp:coreProperties>
</file>